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A2EBF" w14:textId="77777777" w:rsidR="0036741B" w:rsidRPr="00EE7367" w:rsidRDefault="005907F3" w:rsidP="003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14:paraId="024A2EC0" w14:textId="77777777" w:rsidR="0036741B" w:rsidRDefault="00607129" w:rsidP="0036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7367">
        <w:rPr>
          <w:rFonts w:ascii="Times New Roman" w:eastAsia="Times New Roman" w:hAnsi="Times New Roman" w:cs="Times New Roman"/>
          <w:b/>
          <w:lang w:eastAsia="ru-RU"/>
        </w:rPr>
        <w:t>ПРОГРАММА СТРАХОВАНИЯ</w:t>
      </w:r>
    </w:p>
    <w:p w14:paraId="024A2EC1" w14:textId="77777777" w:rsidR="0036741B" w:rsidRPr="00EE7367" w:rsidRDefault="00607129" w:rsidP="0036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B56997">
        <w:rPr>
          <w:rFonts w:ascii="Times New Roman" w:eastAsia="Times New Roman" w:hAnsi="Times New Roman" w:cs="Times New Roman"/>
          <w:b/>
          <w:lang w:eastAsia="ru-RU"/>
        </w:rPr>
        <w:t>Онкострахование</w:t>
      </w:r>
      <w:proofErr w:type="spellEnd"/>
      <w:r w:rsidRPr="00B56997">
        <w:rPr>
          <w:rFonts w:ascii="Times New Roman" w:eastAsia="Times New Roman" w:hAnsi="Times New Roman" w:cs="Times New Roman"/>
          <w:b/>
          <w:lang w:eastAsia="ru-RU"/>
        </w:rPr>
        <w:t xml:space="preserve"> детей владельцев пакета услуг «Сбербанк П</w:t>
      </w:r>
      <w:r>
        <w:rPr>
          <w:rFonts w:ascii="Times New Roman" w:eastAsia="Times New Roman" w:hAnsi="Times New Roman" w:cs="Times New Roman"/>
          <w:b/>
          <w:lang w:eastAsia="ru-RU"/>
        </w:rPr>
        <w:t>ервый</w:t>
      </w:r>
      <w:r w:rsidRPr="00B56997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24A2EC2" w14:textId="77777777" w:rsidR="0036741B" w:rsidRPr="00EE7367" w:rsidRDefault="005907F3" w:rsidP="0036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24A2EC3" w14:textId="77777777" w:rsidR="0036741B" w:rsidRPr="00D61B07" w:rsidRDefault="00607129" w:rsidP="0036741B">
      <w:pPr>
        <w:keepNext/>
        <w:keepLines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B07">
        <w:rPr>
          <w:rFonts w:ascii="Times New Roman" w:hAnsi="Times New Roman" w:cs="Times New Roman"/>
          <w:b/>
        </w:rPr>
        <w:t>Раздел 1. Общие положения</w:t>
      </w:r>
    </w:p>
    <w:p w14:paraId="024A2EC4" w14:textId="77777777" w:rsidR="0036741B" w:rsidRPr="0035618B" w:rsidRDefault="00607129" w:rsidP="0036741B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bCs/>
          <w:sz w:val="24"/>
          <w:szCs w:val="24"/>
        </w:rPr>
        <w:t xml:space="preserve">1.1. Страховщик (ООО </w:t>
      </w:r>
      <w:r w:rsidRPr="0035618B">
        <w:rPr>
          <w:rFonts w:ascii="Times New Roman" w:hAnsi="Times New Roman" w:cs="Times New Roman"/>
          <w:sz w:val="24"/>
          <w:szCs w:val="24"/>
        </w:rPr>
        <w:t xml:space="preserve">СК «Сбербанк страхование жизни») </w:t>
      </w:r>
      <w:r w:rsidRPr="0035618B">
        <w:rPr>
          <w:rFonts w:ascii="Times New Roman" w:hAnsi="Times New Roman" w:cs="Times New Roman"/>
          <w:bCs/>
          <w:sz w:val="24"/>
          <w:szCs w:val="24"/>
        </w:rPr>
        <w:t xml:space="preserve">при наступлении страхового случая организует оказание и оплачивает медицинские и иные услуги в объеме, указанном в настоящей Программе добровольного медицинского страхования (далее также – Программа) </w:t>
      </w:r>
      <w:r w:rsidRPr="0035618B">
        <w:rPr>
          <w:rFonts w:ascii="Times New Roman" w:hAnsi="Times New Roman" w:cs="Times New Roman"/>
          <w:sz w:val="24"/>
          <w:szCs w:val="24"/>
        </w:rPr>
        <w:t>при соблюдении всех положений, определений, исключений из страхования, предусмотренных Правилами страхования и Договором страхования/Страховым полисом № ___________________ от __________ (далее – Договор страхования), в том числе, настоящей Программой.</w:t>
      </w:r>
    </w:p>
    <w:p w14:paraId="024A2EC5" w14:textId="77777777" w:rsidR="0036741B" w:rsidRPr="0035618B" w:rsidRDefault="00607129" w:rsidP="0036741B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 xml:space="preserve">1.2. Медицинские </w:t>
      </w: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услуги, предусмотренные настоящей Программой, оказываются Застрахованному лицу в медицинских организациях, находящихся на территории </w:t>
      </w:r>
      <w:r w:rsidRPr="0035618B">
        <w:rPr>
          <w:rFonts w:ascii="Times New Roman" w:hAnsi="Times New Roman" w:cs="Times New Roman"/>
          <w:bCs/>
          <w:sz w:val="24"/>
          <w:szCs w:val="24"/>
        </w:rPr>
        <w:t>Европы (за исключением Швейцарии), Израиля, Южной Кореи, России.</w:t>
      </w:r>
    </w:p>
    <w:p w14:paraId="024A2EC6" w14:textId="77777777" w:rsidR="0036741B" w:rsidRPr="0035618B" w:rsidRDefault="005907F3" w:rsidP="0036741B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A2EC7" w14:textId="77777777" w:rsidR="0036741B" w:rsidRPr="0035618B" w:rsidRDefault="00607129" w:rsidP="0036741B">
      <w:pPr>
        <w:keepNext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EAAAA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8B">
        <w:rPr>
          <w:rFonts w:ascii="Times New Roman" w:hAnsi="Times New Roman" w:cs="Times New Roman"/>
          <w:b/>
          <w:sz w:val="24"/>
          <w:szCs w:val="24"/>
        </w:rPr>
        <w:t>Раздел 2.  Заболевания, при которых предоставляются медицинские и иные услуги.</w:t>
      </w:r>
    </w:p>
    <w:p w14:paraId="024A2EC8" w14:textId="77777777" w:rsidR="0036741B" w:rsidRPr="0035618B" w:rsidRDefault="00607129" w:rsidP="0036741B">
      <w:pPr>
        <w:keepNext/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2.1. В соответствии с настоящей Программой при наступлении страхового случая Страховщик организует оказание Застрахованному лицу медицинских и иных услуг в объеме, предусмотренном разделом 3 настоящей Программы, при заболеваниях, диагностированных Застрахованному лицу врачом-специалистом впервые в течение срока страхования:</w:t>
      </w:r>
    </w:p>
    <w:p w14:paraId="024A2EC9" w14:textId="77777777" w:rsidR="0036741B" w:rsidRPr="0035618B" w:rsidRDefault="00607129" w:rsidP="0036741B">
      <w:pPr>
        <w:keepNext/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 xml:space="preserve">2.1.1. Злокачественное онкологическое заболевание </w:t>
      </w:r>
    </w:p>
    <w:p w14:paraId="024A2ECA" w14:textId="77777777" w:rsidR="0036741B" w:rsidRPr="0035618B" w:rsidRDefault="00607129" w:rsidP="0036741B">
      <w:pPr>
        <w:keepNext/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Под злокачественным онкологическим заболеванием понимается заболевание, проявляющееся в развитии одной или нескольких злокачественных опухолей, характеризующихся отсутствием дифференцировки клеток, прогрессивным неконтролируемым ростом, способностью к метастазированию (распространению злокачественных клеток из первичного очага и проникновению в ткань различного гистологического типа), к инвазии и деструкции здоровых и окружающих опухоль тканей, диагностированное Застрахованному лицу на основании результатов морфологического исследования (гистологического и (или) цитологического метода(-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)) впервые в течение срока страхования. В определение «Злокачественное онкологическое заболевание» в том числе включается: лейкемия, злокачественные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лимфому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кожи, болезнь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>, злокачественные заболевания костного мозга, и саркома.</w:t>
      </w:r>
    </w:p>
    <w:p w14:paraId="024A2ECB" w14:textId="77777777" w:rsidR="0036741B" w:rsidRPr="0035618B" w:rsidRDefault="00607129" w:rsidP="0036741B">
      <w:pPr>
        <w:keepNext/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При этом по смыслу настоящего определения не относятся к злокачественным онкологическим заболеваниям:</w:t>
      </w:r>
    </w:p>
    <w:p w14:paraId="024A2ECC" w14:textId="77777777" w:rsidR="0036741B" w:rsidRPr="0035618B" w:rsidRDefault="00607129" w:rsidP="0036741B">
      <w:pPr>
        <w:keepNext/>
        <w:numPr>
          <w:ilvl w:val="0"/>
          <w:numId w:val="2"/>
        </w:numPr>
        <w:suppressLineNumbers/>
        <w:suppressAutoHyphens/>
        <w:spacing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Злокачественные опухоли кожи, за исключением меланомы;</w:t>
      </w:r>
    </w:p>
    <w:p w14:paraId="024A2ECD" w14:textId="77777777" w:rsidR="0036741B" w:rsidRPr="0035618B" w:rsidRDefault="00607129" w:rsidP="0036741B">
      <w:pPr>
        <w:keepNext/>
        <w:numPr>
          <w:ilvl w:val="0"/>
          <w:numId w:val="2"/>
        </w:numPr>
        <w:suppressLineNumbers/>
        <w:suppressAutoHyphens/>
        <w:spacing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Базальноклеточная карцинома и плоскоклеточная карцинома;</w:t>
      </w:r>
    </w:p>
    <w:p w14:paraId="024A2ECE" w14:textId="77777777" w:rsidR="0036741B" w:rsidRPr="0035618B" w:rsidRDefault="00607129" w:rsidP="0036741B">
      <w:pPr>
        <w:keepNext/>
        <w:numPr>
          <w:ilvl w:val="0"/>
          <w:numId w:val="2"/>
        </w:numPr>
        <w:suppressLineNumbers/>
        <w:suppressAutoHyphens/>
        <w:spacing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 xml:space="preserve">Карцинома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преинвазивный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интраэпителиальный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рак), включая дисплазию шейки матки (CIN-1, CIN-2 и CIN-3), а также любые опухоли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гистологически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описанные как предраковые заболевания;</w:t>
      </w:r>
    </w:p>
    <w:p w14:paraId="024A2ECF" w14:textId="77777777" w:rsidR="0036741B" w:rsidRPr="0035618B" w:rsidRDefault="00607129" w:rsidP="0036741B">
      <w:pPr>
        <w:keepNext/>
        <w:numPr>
          <w:ilvl w:val="0"/>
          <w:numId w:val="2"/>
        </w:numPr>
        <w:suppressLineNumbers/>
        <w:suppressAutoHyphens/>
        <w:spacing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лимфоцитозная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лейкемия;</w:t>
      </w:r>
    </w:p>
    <w:p w14:paraId="024A2ED0" w14:textId="77777777" w:rsidR="0036741B" w:rsidRPr="0035618B" w:rsidRDefault="00607129" w:rsidP="0036741B">
      <w:pPr>
        <w:keepNext/>
        <w:numPr>
          <w:ilvl w:val="0"/>
          <w:numId w:val="2"/>
        </w:numPr>
        <w:suppressLineNumbers/>
        <w:suppressAutoHyphens/>
        <w:spacing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 xml:space="preserve">Любые виды злокачественных новообразований протекающих на фоне ВИЧ –инфекции или СПИДа (включая Саркому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Капоши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>).</w:t>
      </w:r>
    </w:p>
    <w:p w14:paraId="024A2ED1" w14:textId="77777777" w:rsidR="0036741B" w:rsidRPr="0035618B" w:rsidRDefault="00607129" w:rsidP="0036741B">
      <w:pPr>
        <w:keepNext/>
        <w:suppressLineNumbers/>
        <w:suppressAutoHyphens/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 xml:space="preserve">2.1.2. Трансплантация костного мозга (далее также «Трансплантация») – плановая медицинская процедура, проводимая Застрахованному лицу в течение срока страхования, для лечения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или лейкоза, диагностированных на основании результатов морфологического </w:t>
      </w:r>
      <w:r w:rsidRPr="0035618B">
        <w:rPr>
          <w:rFonts w:ascii="Times New Roman" w:hAnsi="Times New Roman" w:cs="Times New Roman"/>
          <w:sz w:val="24"/>
          <w:szCs w:val="24"/>
        </w:rPr>
        <w:lastRenderedPageBreak/>
        <w:t>исследования (гистологического и (или) цитологического метода(-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>)) впервые в течение срока страхования.</w:t>
      </w:r>
    </w:p>
    <w:p w14:paraId="024A2ED2" w14:textId="77777777" w:rsidR="0036741B" w:rsidRPr="0035618B" w:rsidRDefault="00607129" w:rsidP="0036741B">
      <w:pPr>
        <w:keepNext/>
        <w:suppressLineNumbers/>
        <w:suppressAutoHyphens/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Под трансплантацией понимается пересадка Застрахованному лицу костного мозга, полученного от другого человека (донора) или от самого себя.</w:t>
      </w:r>
    </w:p>
    <w:p w14:paraId="024A2ED3" w14:textId="77777777" w:rsidR="0036741B" w:rsidRPr="0035618B" w:rsidRDefault="00607129" w:rsidP="0036741B">
      <w:pPr>
        <w:keepNext/>
        <w:suppressLineNumbers/>
        <w:suppressAutoHyphens/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Необходимость проведения Трансплантации должна быть подтверждена не менее чем двумя врачами-специалистами в соответствующей области медицины.</w:t>
      </w:r>
    </w:p>
    <w:p w14:paraId="024A2ED4" w14:textId="77777777" w:rsidR="0036741B" w:rsidRPr="0035618B" w:rsidRDefault="00607129" w:rsidP="0036741B">
      <w:pPr>
        <w:keepNext/>
        <w:suppressLineNumbers/>
        <w:suppressAutoHyphens/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При этом по смыслу настоящего определения не является Трансплантацией пересадка костного мозга, когда Застрахованное лицо является донором для третьего лица.</w:t>
      </w:r>
    </w:p>
    <w:p w14:paraId="024A2ED5" w14:textId="77777777" w:rsidR="0036741B" w:rsidRPr="0035618B" w:rsidRDefault="005907F3" w:rsidP="0036741B">
      <w:pPr>
        <w:keepNext/>
        <w:suppressLineNumbers/>
        <w:suppressAutoHyphens/>
        <w:spacing w:after="0"/>
        <w:ind w:firstLine="3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4A2ED6" w14:textId="77777777" w:rsidR="0036741B" w:rsidRPr="0035618B" w:rsidRDefault="00607129" w:rsidP="0036741B">
      <w:pPr>
        <w:keepNext/>
        <w:keepLines/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6A6A6"/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618B">
        <w:rPr>
          <w:rFonts w:ascii="Times New Roman" w:hAnsi="Times New Roman" w:cs="Times New Roman"/>
          <w:b/>
          <w:sz w:val="24"/>
          <w:szCs w:val="24"/>
        </w:rPr>
        <w:t>Раздел 3.  Объем предоставляемых медицинских и иных услуг</w:t>
      </w:r>
    </w:p>
    <w:p w14:paraId="024A2ED7" w14:textId="77777777" w:rsidR="0036741B" w:rsidRPr="0035618B" w:rsidRDefault="00607129" w:rsidP="0036741B">
      <w:pPr>
        <w:keepNext/>
        <w:keepLines/>
        <w:suppressLineNumbers/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>3.1. Медицинские услуги, предоставляемые в рамках настоящей Программы:</w:t>
      </w:r>
    </w:p>
    <w:p w14:paraId="024A2ED8" w14:textId="77777777" w:rsidR="0036741B" w:rsidRPr="0035618B" w:rsidRDefault="005907F3" w:rsidP="0036741B">
      <w:pPr>
        <w:keepNext/>
        <w:keepLines/>
        <w:suppressLineNumbers/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50"/>
      </w:tblGrid>
      <w:tr w:rsidR="002F4D55" w14:paraId="024A2EDA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4A2ED9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услуги</w:t>
            </w:r>
          </w:p>
        </w:tc>
      </w:tr>
      <w:tr w:rsidR="002F4D55" w14:paraId="024A2EDC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A2EDB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b/>
                <w:sz w:val="24"/>
                <w:szCs w:val="24"/>
              </w:rPr>
              <w:t>3.1.1. Злокачественное онкологическое заболевание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(п. 2.1.1 Программы): </w:t>
            </w:r>
          </w:p>
        </w:tc>
      </w:tr>
      <w:tr w:rsidR="002F4D55" w14:paraId="024A2EDE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DD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>1. Стационарная помощь:</w:t>
            </w:r>
          </w:p>
        </w:tc>
      </w:tr>
      <w:tr w:rsidR="002F4D55" w14:paraId="024A2EE0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DF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1.1. Врачебная медицинская помощь (обследование и лечение)</w:t>
            </w:r>
          </w:p>
        </w:tc>
      </w:tr>
      <w:tr w:rsidR="002F4D55" w14:paraId="024A2EE2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E1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1.2. Диагностирование, включая, но не ограничиваясь: клинико-диагностические лабораторные исследования, инструментальные исследования</w:t>
            </w:r>
          </w:p>
        </w:tc>
      </w:tr>
      <w:tr w:rsidR="002F4D55" w14:paraId="024A2EE4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E3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1.3. Лечение: консервативное лечение, хирургическое лечение, радиоизотопное лечение, химиотерапия, лучевая терапия, гормональная терапия, иммунологическая терапия</w:t>
            </w:r>
          </w:p>
        </w:tc>
      </w:tr>
      <w:tr w:rsidR="002F4D55" w14:paraId="024A2EE6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E5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1.4. Выполнение лечебных процедур средним медицинским персоналом и уход младшим медицинским персоналом</w:t>
            </w:r>
          </w:p>
        </w:tc>
      </w:tr>
      <w:tr w:rsidR="002F4D55" w14:paraId="024A2EE8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E7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1.5. Оперативное вмешательство, включая сопутствующие расходы</w:t>
            </w:r>
          </w:p>
        </w:tc>
      </w:tr>
      <w:tr w:rsidR="002F4D55" w14:paraId="024A2EEA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E9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1.6. Пребывание в реанимации, блоке интенсивной терапии, включая реанимационные мероприятия</w:t>
            </w:r>
          </w:p>
        </w:tc>
      </w:tr>
      <w:tr w:rsidR="002F4D55" w14:paraId="024A2EEC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EB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1.7. Анестезия, обезболивающие препараты по назначению лечащего врача</w:t>
            </w:r>
          </w:p>
        </w:tc>
      </w:tr>
      <w:tr w:rsidR="002F4D55" w14:paraId="024A2EEE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ED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1.8. Медикаменты (в том числе, противоопухолевые препараты и другие лекарственные препараты), необходимые для лечения и назначенные лечащим врачом, перевязочные средства, медицинские расходные материалы, кровь и ее компоненты</w:t>
            </w:r>
          </w:p>
        </w:tc>
      </w:tr>
      <w:tr w:rsidR="002F4D55" w14:paraId="024A2EF0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EF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1.9. Имплантация необходимая в целях реконструктивного лечения, включая стоимость изделий для внутреннего протезирования</w:t>
            </w:r>
          </w:p>
        </w:tc>
      </w:tr>
      <w:tr w:rsidR="002F4D55" w14:paraId="024A2EF2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F1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1.10. Медицинские приборы и устройства</w:t>
            </w:r>
          </w:p>
        </w:tc>
      </w:tr>
      <w:tr w:rsidR="002F4D55" w14:paraId="024A2EF4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F3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1.11. Пребывание в палате стационара (включая питание)</w:t>
            </w:r>
          </w:p>
        </w:tc>
      </w:tr>
      <w:tr w:rsidR="002F4D55" w14:paraId="024A2EF6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F5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1.12. Послеоперационный индивидуальный медицинский </w:t>
            </w:r>
            <w:proofErr w:type="spellStart"/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постне</w:t>
            </w:r>
            <w:proofErr w:type="spellEnd"/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более 8 дней</w:t>
            </w:r>
          </w:p>
        </w:tc>
      </w:tr>
      <w:tr w:rsidR="002F4D55" w14:paraId="024A2EF8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F7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1.13. Пребывание в палате стационара с целью диагностического обследования</w:t>
            </w:r>
          </w:p>
        </w:tc>
      </w:tr>
      <w:tr w:rsidR="002F4D55" w14:paraId="024A2EFA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F9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Амбулаторно-поликлиническая помощь (в </w:t>
            </w:r>
            <w:proofErr w:type="spellStart"/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>. в условиях дневного стационара):</w:t>
            </w:r>
          </w:p>
        </w:tc>
      </w:tr>
      <w:tr w:rsidR="002F4D55" w14:paraId="024A2EFC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FB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2.1. Врачебная медицинская помощь (обследование и лечение)</w:t>
            </w:r>
          </w:p>
        </w:tc>
      </w:tr>
      <w:tr w:rsidR="002F4D55" w14:paraId="024A2EFE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FD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2.2. Диагностирование, включая, но не ограничиваясь: клинико-диагностические лабораторные исследования, инструментальные исследования, в том числе необходимые для госпитализации в стационар в объеме, отвечающем требованиям стационара</w:t>
            </w:r>
          </w:p>
        </w:tc>
      </w:tr>
      <w:tr w:rsidR="002F4D55" w14:paraId="024A2F00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EFF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2.3. Лечение: консервативное лечение, хирургическое лечение, химиотерапия, лучевая терапия, гормональная терапия, иммунологическая терапия</w:t>
            </w:r>
          </w:p>
        </w:tc>
      </w:tr>
      <w:tr w:rsidR="002F4D55" w14:paraId="024A2F02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01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2.4. Лечебные процедуры, выполняемые средним медицинским персоналом</w:t>
            </w:r>
          </w:p>
        </w:tc>
      </w:tr>
      <w:tr w:rsidR="002F4D55" w14:paraId="024A2F04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03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2.5. Обезболивающие, противоопухолевые препараты, необходимые для лечения и назначенные лечащим врачом, перевязочные средства, медицинские расходные материалы</w:t>
            </w:r>
          </w:p>
        </w:tc>
      </w:tr>
      <w:tr w:rsidR="002F4D55" w14:paraId="024A2F06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05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2.6. Медицинская документация (оформление рецептов на лекарственные препараты (кроме льготных), выдача медицинских справок, направлений и выписок из амбулаторных карт по медицинским показаниям)</w:t>
            </w:r>
          </w:p>
        </w:tc>
      </w:tr>
    </w:tbl>
    <w:p w14:paraId="024A2F07" w14:textId="77777777" w:rsidR="0036741B" w:rsidRPr="0035618B" w:rsidRDefault="005907F3" w:rsidP="0036741B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50"/>
      </w:tblGrid>
      <w:tr w:rsidR="002F4D55" w14:paraId="024A2F09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A2F08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3.1.2. «Трансплантация»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(п. 2.1.2 Программы):</w:t>
            </w:r>
          </w:p>
        </w:tc>
      </w:tr>
      <w:tr w:rsidR="002F4D55" w14:paraId="024A2F0B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0A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>1. Стационарная помощь:</w:t>
            </w:r>
          </w:p>
        </w:tc>
      </w:tr>
      <w:tr w:rsidR="002F4D55" w14:paraId="024A2F0D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0C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1.1. Врачебная медицинская помощь (обследование и лечение)</w:t>
            </w:r>
          </w:p>
        </w:tc>
      </w:tr>
      <w:tr w:rsidR="002F4D55" w14:paraId="024A2F0F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0E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1.2. Диагностирование, включая, но не ограничиваясь: клинико-диагностические лабораторные исследования, инструментальные исследования, пробы на совместимость</w:t>
            </w:r>
          </w:p>
        </w:tc>
      </w:tr>
      <w:tr w:rsidR="002F4D55" w14:paraId="024A2F11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10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1.3. Лечение, включая, но не ограничиваясь: консервативное лечение, химиотерапия, лучевая терапия, гормональная терапия, </w:t>
            </w:r>
            <w:proofErr w:type="spellStart"/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иммуносупрессивная</w:t>
            </w:r>
            <w:proofErr w:type="spellEnd"/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</w:tr>
      <w:tr w:rsidR="002F4D55" w14:paraId="024A2F13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12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1.4. Получение, обработка, хранение костного мозга</w:t>
            </w:r>
          </w:p>
        </w:tc>
      </w:tr>
      <w:tr w:rsidR="002F4D55" w14:paraId="024A2F15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14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1.5. Выполнение лечебных процедур средним медицинским персоналом и уход младшим медицинским персоналом</w:t>
            </w:r>
          </w:p>
        </w:tc>
      </w:tr>
      <w:tr w:rsidR="002F4D55" w14:paraId="024A2F17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16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1.6. Проведение трансплантации, включая сопутствующие расходы</w:t>
            </w:r>
          </w:p>
        </w:tc>
      </w:tr>
      <w:tr w:rsidR="002F4D55" w14:paraId="024A2F19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18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1.7. Пребывание в реанимации, блоке интенсивной терапии, включая реанимационные мероприятия</w:t>
            </w:r>
          </w:p>
        </w:tc>
      </w:tr>
      <w:tr w:rsidR="002F4D55" w14:paraId="024A2F1B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1A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1.8. Анестезия, обезболивающие препараты по назначению лечащего врача</w:t>
            </w:r>
          </w:p>
        </w:tc>
      </w:tr>
      <w:tr w:rsidR="002F4D55" w14:paraId="024A2F1D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1C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1.9. Медикаменты, необходимые для лечения и назначенные лечащим врачом, перевязочные средства, медицинские расходные материалы, кровь и ее компоненты</w:t>
            </w:r>
          </w:p>
        </w:tc>
      </w:tr>
      <w:tr w:rsidR="002F4D55" w14:paraId="024A2F1F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1E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1.10. Пребывание в палате стационара (включая питание) до 30 календарных дней перед выполнением Трансплантации, до 335 календарных дней после выполнения Трансплантации</w:t>
            </w:r>
          </w:p>
        </w:tc>
      </w:tr>
      <w:tr w:rsidR="002F4D55" w14:paraId="024A2F21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20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1.11. Послеоперационный индивидуальный медицинский пост не более 8 дней</w:t>
            </w:r>
          </w:p>
        </w:tc>
      </w:tr>
      <w:tr w:rsidR="002F4D55" w14:paraId="024A2F23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22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>2. Поиск потенциальных доноров</w:t>
            </w:r>
          </w:p>
        </w:tc>
      </w:tr>
      <w:tr w:rsidR="002F4D55" w14:paraId="024A2F25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24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Получение </w:t>
            </w:r>
            <w:proofErr w:type="spellStart"/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>трасплантата</w:t>
            </w:r>
            <w:proofErr w:type="spellEnd"/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(под данной услугой понимается оплата стоимости трансплантата), хранение и доставка до места, где будет производиться Трансплантация</w:t>
            </w:r>
          </w:p>
        </w:tc>
      </w:tr>
      <w:tr w:rsidR="002F4D55" w14:paraId="024A2F27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26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Амбулаторно-поликлиническая помощь (в </w:t>
            </w:r>
            <w:proofErr w:type="spellStart"/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35618B">
              <w:rPr>
                <w:rFonts w:ascii="Times New Roman" w:hAnsi="Times New Roman" w:cs="Times New Roman"/>
                <w:i/>
                <w:sz w:val="24"/>
                <w:szCs w:val="24"/>
              </w:rPr>
              <w:t>. в условиях дневного стационара):</w:t>
            </w:r>
          </w:p>
        </w:tc>
      </w:tr>
      <w:tr w:rsidR="002F4D55" w14:paraId="024A2F29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28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4.1. Врачебная медицинская помощь (обследование и лечение)</w:t>
            </w:r>
          </w:p>
        </w:tc>
      </w:tr>
      <w:tr w:rsidR="002F4D55" w14:paraId="024A2F2B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2A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4.2. Диагностирование, включая, но не ограничиваясь: клинико-диагностические лабораторные исследования, инструментальные исследования, включая пробы на совместимость, а также исследования, необходимые для госпитализации в стационар в объеме, отвечающем требованиям стационара</w:t>
            </w:r>
          </w:p>
        </w:tc>
      </w:tr>
      <w:tr w:rsidR="002F4D55" w14:paraId="024A2F2D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2C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4.3. Лечение, включая, но не ограничиваясь: консервативное лечение, иное лечение (включая мониторинг, антибактериальная профилактика, противогрибковая терапия, иммунологическая терапия и пр.)</w:t>
            </w:r>
          </w:p>
        </w:tc>
      </w:tr>
      <w:tr w:rsidR="002F4D55" w14:paraId="024A2F2F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2E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4.4. Лечебные процедуры, выполняемые средним медицинским персоналом</w:t>
            </w:r>
          </w:p>
        </w:tc>
      </w:tr>
      <w:tr w:rsidR="002F4D55" w14:paraId="024A2F31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30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4.5. Медицинская документация (оформление рецептов на лекарственные препараты (кроме льготных), выдача медицинских справок, направлений и выписок из амбулаторных карт по медицинским показаниям)</w:t>
            </w:r>
          </w:p>
        </w:tc>
      </w:tr>
      <w:tr w:rsidR="002F4D55" w14:paraId="024A2F33" w14:textId="77777777" w:rsidTr="00A84D35">
        <w:trPr>
          <w:trHeight w:val="20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32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3.1.3. Повторное заключение врача-специалиста о состоянии здоровья Застрахованного лица, о правильности установленного диагноза, комментарии и/или рекомендаций в отношении выбора методов профилактики, диагностики, лечения и реабилитации при оказании медицинской помощи Застрахованному лицу, степени достижения запланированного результата, а также иные комментарии, в том числе по плану лечения, вынесенные по итогам удаленного рассмотрения и оценки медицинской информации, представленной Застрахованным лицом, в том числе содержащейся в медицинских документах (в частности, в истории болезни или иных медицинских документах, содержащих данную информацию), в отношении заболеваний, указанных в п.2.1 настоящей Программы.</w:t>
            </w:r>
          </w:p>
        </w:tc>
      </w:tr>
    </w:tbl>
    <w:p w14:paraId="024A2F34" w14:textId="77777777" w:rsidR="0036741B" w:rsidRPr="0035618B" w:rsidRDefault="005907F3" w:rsidP="0036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741B" w:rsidRPr="0035618B" w:rsidSect="0035618B">
          <w:footerReference w:type="default" r:id="rId10"/>
          <w:type w:val="continuous"/>
          <w:pgSz w:w="11906" w:h="16838"/>
          <w:pgMar w:top="851" w:right="707" w:bottom="851" w:left="1134" w:header="709" w:footer="268" w:gutter="0"/>
          <w:pgNumType w:start="1"/>
          <w:cols w:space="720"/>
        </w:sectPr>
      </w:pPr>
    </w:p>
    <w:p w14:paraId="024A2F35" w14:textId="77777777" w:rsidR="0036741B" w:rsidRPr="0035618B" w:rsidRDefault="00607129" w:rsidP="0036741B">
      <w:pPr>
        <w:keepNext/>
        <w:keepLines/>
        <w:suppressLineNumbers/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lastRenderedPageBreak/>
        <w:t>3.2. Иные услуги, предоставляемые при заболеваниях, указанных в Разделе 2 Программы:</w:t>
      </w:r>
    </w:p>
    <w:tbl>
      <w:tblPr>
        <w:tblW w:w="1000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15"/>
        <w:gridCol w:w="2693"/>
      </w:tblGrid>
      <w:tr w:rsidR="002F4D55" w14:paraId="024A2F38" w14:textId="77777777" w:rsidTr="00207906">
        <w:trPr>
          <w:cantSplit/>
          <w:trHeight w:val="29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4A2F36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иные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4A2F37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b/>
                <w:sz w:val="24"/>
                <w:szCs w:val="24"/>
              </w:rPr>
              <w:t>Лимит ответственности Страховщика в течение срока страхования</w:t>
            </w:r>
          </w:p>
        </w:tc>
      </w:tr>
      <w:tr w:rsidR="002F4D55" w14:paraId="024A2F3C" w14:textId="77777777" w:rsidTr="00207906">
        <w:trPr>
          <w:cantSplit/>
          <w:trHeight w:val="73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39" w14:textId="77777777" w:rsidR="00207906" w:rsidRPr="0035618B" w:rsidRDefault="00607129" w:rsidP="0020790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Проезд Застрахованного лица до места лечения и обратно, если проведение лечения планируется вне места постоянного проживания Застрахованного лица.</w:t>
            </w:r>
          </w:p>
          <w:p w14:paraId="024A2F3A" w14:textId="77777777" w:rsidR="00207906" w:rsidRPr="0035618B" w:rsidRDefault="00607129" w:rsidP="0020790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Данная услуга включает в себя: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 на пассажирском, предназначенном для перевозки пассажиров, транспортном средстве;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встречу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Застрахованного лица;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транспортировку (при наличии показаний) или немедицинскую транспортировку (на такси) до медицинской организации, в которой будет проводиться лечение или иного места размещения Застрахованного лица и обратно.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F3B" w14:textId="77777777" w:rsidR="00207906" w:rsidRPr="0035618B" w:rsidRDefault="00607129" w:rsidP="0020790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2 500 долларов США</w:t>
            </w:r>
          </w:p>
        </w:tc>
      </w:tr>
      <w:tr w:rsidR="002F4D55" w14:paraId="024A2F40" w14:textId="77777777" w:rsidTr="00207906">
        <w:trPr>
          <w:cantSplit/>
          <w:trHeight w:val="73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3D" w14:textId="77777777" w:rsidR="00207906" w:rsidRPr="0035618B" w:rsidRDefault="00607129" w:rsidP="0020790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Застрахованного лица для проведения ему лечения.</w:t>
            </w:r>
          </w:p>
          <w:p w14:paraId="024A2F3E" w14:textId="77777777" w:rsidR="00207906" w:rsidRPr="0035618B" w:rsidRDefault="00607129" w:rsidP="0020790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услуга включает в себя оплату </w:t>
            </w:r>
            <w:r w:rsidRPr="0073386B">
              <w:rPr>
                <w:rFonts w:ascii="Times New Roman" w:hAnsi="Times New Roman" w:cs="Times New Roman"/>
                <w:sz w:val="24"/>
                <w:szCs w:val="24"/>
              </w:rPr>
              <w:t>проезда на пассажирском, предназначенном для перевозки пассажиров, транспортном средстве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места лечения Застрахованного лица и обратно.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F3F" w14:textId="77777777" w:rsidR="00207906" w:rsidRPr="0035618B" w:rsidRDefault="005907F3" w:rsidP="002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55" w14:paraId="024A2F44" w14:textId="77777777" w:rsidTr="00207906">
        <w:trPr>
          <w:cantSplit/>
          <w:trHeight w:val="818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41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Проживание Застрахованного лица за пределами стационара в месте лечения, если проведение лечения планируется вне места постоянного проживания.</w:t>
            </w:r>
          </w:p>
          <w:p w14:paraId="024A2F42" w14:textId="4D210789" w:rsidR="0036741B" w:rsidRPr="0035618B" w:rsidRDefault="00607129" w:rsidP="00BE21B2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Данная услуга включает в себя оплату проживания Застрахованного лица в отеле (</w:t>
            </w:r>
            <w:r w:rsidR="00BE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BE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звезд), с оплатой стоимости завтраков и иных услуг, включенных в стоимость номера.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F43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2 500 долларов США</w:t>
            </w:r>
          </w:p>
        </w:tc>
      </w:tr>
      <w:tr w:rsidR="002F4D55" w14:paraId="024A2F48" w14:textId="77777777" w:rsidTr="00207906">
        <w:trPr>
          <w:cantSplit/>
          <w:trHeight w:val="818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45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Застрахованного лица для проведения ему лечения.</w:t>
            </w:r>
          </w:p>
          <w:p w14:paraId="024A2F46" w14:textId="1581A5D0" w:rsidR="0036741B" w:rsidRPr="0035618B" w:rsidRDefault="00607129" w:rsidP="00BE21B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услуга включает проживание одного сопровождающего 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в отеле (</w:t>
            </w:r>
            <w:r w:rsidR="00BE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BE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 xml:space="preserve"> звезд), с оплатой стоимости завтраков и иных услуг, включенных в стоимость номера</w:t>
            </w:r>
            <w:r w:rsidRPr="0035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месте лечения Застрахованного лица.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F47" w14:textId="77777777" w:rsidR="0036741B" w:rsidRPr="0035618B" w:rsidRDefault="005907F3" w:rsidP="00A8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D55" w14:paraId="024A2F4B" w14:textId="77777777" w:rsidTr="00207906">
        <w:trPr>
          <w:cantSplit/>
          <w:trHeight w:val="53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49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Оплата визовых сборов (если требуется), если проведение лечения планируется за пределами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4A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100 долларов США</w:t>
            </w:r>
          </w:p>
        </w:tc>
      </w:tr>
      <w:tr w:rsidR="002F4D55" w14:paraId="024A2F4E" w14:textId="77777777" w:rsidTr="00207906">
        <w:trPr>
          <w:cantSplit/>
          <w:trHeight w:val="20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4C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Посмертная репатриация.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F4D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15 000 долларов США</w:t>
            </w:r>
          </w:p>
        </w:tc>
      </w:tr>
      <w:tr w:rsidR="002F4D55" w14:paraId="024A2F51" w14:textId="77777777" w:rsidTr="00207906">
        <w:trPr>
          <w:cantSplit/>
          <w:trHeight w:val="50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4F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Сопровождение Застрахованного лица в месте лечения представителем сервисной организации, привлеченной Страховщиком.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F50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2F4D55" w14:paraId="024A2F54" w14:textId="77777777" w:rsidTr="00207906">
        <w:trPr>
          <w:cantSplit/>
          <w:trHeight w:val="399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52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Услуги переводчика (устный, письменный перевод) на период лечения Застрахованного лица в лечебном учреждении за пределами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F53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hAnsi="Times New Roman" w:cs="Times New Roman"/>
                <w:sz w:val="24"/>
                <w:szCs w:val="24"/>
              </w:rPr>
              <w:t>1 000 долларов США</w:t>
            </w:r>
          </w:p>
        </w:tc>
      </w:tr>
      <w:tr w:rsidR="002F4D55" w14:paraId="024A2F58" w14:textId="77777777" w:rsidTr="00207906">
        <w:trPr>
          <w:cantSplit/>
          <w:trHeight w:val="1572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F55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организации проезда для Застрахованного лица к месту лечения, если проведение лечения планируется вне места постоянного проживания Застрахованного лица, а также его проживания за пределами стационара в месте лечения.</w:t>
            </w:r>
          </w:p>
          <w:p w14:paraId="024A2F56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eastAsia="Calibri" w:hAnsi="Times New Roman" w:cs="Times New Roman"/>
                <w:sz w:val="24"/>
                <w:szCs w:val="24"/>
              </w:rPr>
              <w:t>Данная услуга включает консультации с целью помощи в получении визы Застрахованному лицу (без оплаты ее стоимости) в страну назначения с целью прохождения лечения, бронирование билетов (без оплаты их стоимости) для проезда Застрахованного лица к месту лечения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F57" w14:textId="77777777" w:rsidR="0036741B" w:rsidRPr="0035618B" w:rsidRDefault="00607129" w:rsidP="00A84D3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8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14:paraId="024A2F59" w14:textId="77777777" w:rsidR="0036741B" w:rsidRPr="0035618B" w:rsidRDefault="005907F3" w:rsidP="003674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6741B" w:rsidRPr="0035618B">
          <w:pgSz w:w="11906" w:h="16838"/>
          <w:pgMar w:top="851" w:right="707" w:bottom="851" w:left="1134" w:header="709" w:footer="268" w:gutter="0"/>
          <w:pgNumType w:start="1"/>
          <w:cols w:space="720"/>
        </w:sectPr>
      </w:pPr>
    </w:p>
    <w:p w14:paraId="024A2F5A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lastRenderedPageBreak/>
        <w:t>3.3. Определения, используемые в п.3.1, п. 3.2 настоящей Программы:</w:t>
      </w:r>
    </w:p>
    <w:p w14:paraId="024A2F5B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i/>
          <w:sz w:val="24"/>
          <w:szCs w:val="24"/>
        </w:rPr>
        <w:t xml:space="preserve">Под клинико-диагностическими лабораторными исследованиями </w:t>
      </w:r>
      <w:r w:rsidRPr="0035618B">
        <w:rPr>
          <w:rFonts w:ascii="Times New Roman" w:hAnsi="Times New Roman" w:cs="Times New Roman"/>
          <w:sz w:val="24"/>
          <w:szCs w:val="24"/>
        </w:rPr>
        <w:t xml:space="preserve">в настоящей Программе понимаются: гематологические исследования;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бактериоскопические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исследования; биохимические исследования; вирусологические исследования; иммунологические исследования; клинико-морфологические (гистологические) исследования;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исследования; микробиологические исследования (3-4 групп патогенности); общеклинические (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) методы исследования;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онкогематологические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исследования; серологические исследования; токсикологические исследования; цитологические исследование; цитохимические исследования.</w:t>
      </w:r>
    </w:p>
    <w:p w14:paraId="024A2F5C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i/>
          <w:sz w:val="24"/>
          <w:szCs w:val="24"/>
        </w:rPr>
        <w:t>Под инструментальными исследованиями</w:t>
      </w:r>
      <w:r w:rsidRPr="0035618B">
        <w:rPr>
          <w:rFonts w:ascii="Times New Roman" w:hAnsi="Times New Roman" w:cs="Times New Roman"/>
          <w:sz w:val="24"/>
          <w:szCs w:val="24"/>
        </w:rPr>
        <w:t xml:space="preserve"> в настоящей Программе понимаются: электрокардиография; ультразвуковое исследование; эхокардиография; электроэнцефалография; эндоскопическое исследование; рентгенография; рентгеноскопия; флюорография; компьютерная томография; магнитно-резонансная томография или ядерно-магнитный резонанс;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радионуклидное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исследование; лазерная допплеровская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флуометрия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>; радиоизотопная диагностика; позитронно-эмиссионная томография.</w:t>
      </w:r>
    </w:p>
    <w:p w14:paraId="024A2F5D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i/>
          <w:sz w:val="24"/>
          <w:szCs w:val="24"/>
        </w:rPr>
        <w:t xml:space="preserve">Под сопутствующими расходами </w:t>
      </w:r>
      <w:r w:rsidRPr="0035618B">
        <w:rPr>
          <w:rFonts w:ascii="Times New Roman" w:hAnsi="Times New Roman" w:cs="Times New Roman"/>
          <w:sz w:val="24"/>
          <w:szCs w:val="24"/>
        </w:rPr>
        <w:t xml:space="preserve">в настоящей Программе понимаются затраты, связанные с обеспечением необходимых сопутствующих операции расходных материалов и оказанием услуг, включая, но не ограничиваясь: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стенты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>, катетеры, дренажи, перевязочные средства, одноразовые шприцы; установление аппарата искусственного дыхания, проведение анестезии, установка капельниц.</w:t>
      </w:r>
    </w:p>
    <w:p w14:paraId="024A2F5E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i/>
          <w:sz w:val="24"/>
          <w:szCs w:val="24"/>
        </w:rPr>
        <w:t>Под</w:t>
      </w:r>
      <w:r w:rsidRPr="0035618B">
        <w:rPr>
          <w:rFonts w:ascii="Times New Roman" w:hAnsi="Times New Roman" w:cs="Times New Roman"/>
          <w:sz w:val="24"/>
          <w:szCs w:val="24"/>
        </w:rPr>
        <w:t xml:space="preserve"> </w:t>
      </w:r>
      <w:r w:rsidRPr="0035618B">
        <w:rPr>
          <w:rFonts w:ascii="Times New Roman" w:hAnsi="Times New Roman" w:cs="Times New Roman"/>
          <w:i/>
          <w:sz w:val="24"/>
          <w:szCs w:val="24"/>
        </w:rPr>
        <w:t>медикаментами</w:t>
      </w:r>
      <w:r w:rsidRPr="0035618B">
        <w:rPr>
          <w:rFonts w:ascii="Times New Roman" w:hAnsi="Times New Roman" w:cs="Times New Roman"/>
          <w:sz w:val="24"/>
          <w:szCs w:val="24"/>
        </w:rPr>
        <w:t xml:space="preserve"> понимаются лекарственные средства, выписанные врачом в соответствии с назначенным лечением, исключая любые пищевые добавки, укрепляющие/тонизирующие средства, минеральную воду, косметические средства, гигиенические средства, средства по уходу за телом, а также добавки для ванн; </w:t>
      </w:r>
      <w:r w:rsidRPr="0035618B">
        <w:rPr>
          <w:rFonts w:ascii="Times New Roman" w:hAnsi="Times New Roman" w:cs="Times New Roman"/>
          <w:i/>
          <w:sz w:val="24"/>
          <w:szCs w:val="24"/>
        </w:rPr>
        <w:t>под перевязочными средствами</w:t>
      </w:r>
      <w:r w:rsidRPr="0035618B">
        <w:rPr>
          <w:rFonts w:ascii="Times New Roman" w:hAnsi="Times New Roman" w:cs="Times New Roman"/>
          <w:sz w:val="24"/>
          <w:szCs w:val="24"/>
        </w:rPr>
        <w:t xml:space="preserve"> понимается медицинские изделия, применяемые для наложения повязок, осушения раны при перевязках и операциях, для тампонады, используемые для оказания медицинской помощи включая, но не ограничиваясь - салфетки, бинты, тампоны, пластыри, покрытия раневые.</w:t>
      </w:r>
    </w:p>
    <w:p w14:paraId="024A2F5F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i/>
          <w:sz w:val="24"/>
          <w:szCs w:val="24"/>
        </w:rPr>
        <w:t>К медицинским расходным материалам</w:t>
      </w:r>
      <w:r w:rsidRPr="0035618B">
        <w:rPr>
          <w:rFonts w:ascii="Times New Roman" w:hAnsi="Times New Roman" w:cs="Times New Roman"/>
          <w:sz w:val="24"/>
          <w:szCs w:val="24"/>
        </w:rPr>
        <w:t xml:space="preserve"> относят предметы, обеспечивающие работу медицинской техники, а также материалы для выполнения тех или иных процедур, включая, но не ограничиваясь: гели для исследований, пленки для рентген-диагностики, бумага для диагностической аппаратуры, контейнеры для сбора биоматериала, стерильные инструменты и материалы одноразового использования, применяемые в медицинской практике.</w:t>
      </w:r>
    </w:p>
    <w:p w14:paraId="024A2F60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 xml:space="preserve">Под </w:t>
      </w:r>
      <w:r w:rsidRPr="0035618B">
        <w:rPr>
          <w:rFonts w:ascii="Times New Roman" w:hAnsi="Times New Roman" w:cs="Times New Roman"/>
          <w:i/>
          <w:sz w:val="24"/>
          <w:szCs w:val="24"/>
        </w:rPr>
        <w:t>изделиями для внутреннего протезирования</w:t>
      </w:r>
      <w:r w:rsidRPr="0035618B">
        <w:rPr>
          <w:rFonts w:ascii="Times New Roman" w:hAnsi="Times New Roman" w:cs="Times New Roman"/>
          <w:sz w:val="24"/>
          <w:szCs w:val="24"/>
        </w:rPr>
        <w:t xml:space="preserve"> понимаются медицинские изделия (кроме зубных протезов), применяемые в медицинских целях, предназначенные производителем для восстановления, замещения анатомической структуры организма: </w:t>
      </w:r>
      <w:proofErr w:type="spellStart"/>
      <w:r w:rsidRPr="0035618B">
        <w:rPr>
          <w:rFonts w:ascii="Times New Roman" w:hAnsi="Times New Roman" w:cs="Times New Roman"/>
          <w:sz w:val="24"/>
          <w:szCs w:val="24"/>
        </w:rPr>
        <w:t>экзопротез</w:t>
      </w:r>
      <w:proofErr w:type="spellEnd"/>
      <w:r w:rsidRPr="0035618B">
        <w:rPr>
          <w:rFonts w:ascii="Times New Roman" w:hAnsi="Times New Roman" w:cs="Times New Roman"/>
          <w:sz w:val="24"/>
          <w:szCs w:val="24"/>
        </w:rPr>
        <w:t xml:space="preserve"> молочной железы.</w:t>
      </w:r>
    </w:p>
    <w:p w14:paraId="024A2F61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i/>
          <w:sz w:val="24"/>
          <w:szCs w:val="24"/>
        </w:rPr>
        <w:t>Под медицинскими приборами и устройствами</w:t>
      </w:r>
      <w:r w:rsidRPr="0035618B">
        <w:rPr>
          <w:rFonts w:ascii="Times New Roman" w:hAnsi="Times New Roman" w:cs="Times New Roman"/>
          <w:sz w:val="24"/>
          <w:szCs w:val="24"/>
        </w:rPr>
        <w:t xml:space="preserve"> в настоящей Программе понимаются медицинские приборы и устройства, необходимые Застрахованному лицу по жизненным показаниям либо непосредственно облегчающие или уменьшающие физические недостатки (в частности, кардиостимуляторы, протезы конечностей и других органов, исключая зубные протезы), установленные Застрахованному лицу в период пребывания в стационаре, и которыми он пользуется.</w:t>
      </w:r>
    </w:p>
    <w:p w14:paraId="024A2F62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sz w:val="24"/>
          <w:szCs w:val="24"/>
        </w:rPr>
        <w:t xml:space="preserve">По условиям настоящей Программы под </w:t>
      </w:r>
      <w:r w:rsidRPr="0035618B">
        <w:rPr>
          <w:rFonts w:ascii="Times New Roman" w:hAnsi="Times New Roman" w:cs="Times New Roman"/>
          <w:i/>
          <w:sz w:val="24"/>
          <w:szCs w:val="24"/>
        </w:rPr>
        <w:t>врачебной медицинской помощью</w:t>
      </w:r>
      <w:r w:rsidRPr="0035618B">
        <w:rPr>
          <w:rFonts w:ascii="Times New Roman" w:hAnsi="Times New Roman" w:cs="Times New Roman"/>
          <w:sz w:val="24"/>
          <w:szCs w:val="24"/>
        </w:rPr>
        <w:t xml:space="preserve"> понимается комплекс лечебно-профилактических мероприятий, выполняемых врачом, направленных на профилактику, диагностику и лечение заболеваний, а также медицинскую реабилитацию Застрахованного лица.</w:t>
      </w:r>
    </w:p>
    <w:p w14:paraId="024A2F63" w14:textId="77777777" w:rsidR="0036741B" w:rsidRPr="0035618B" w:rsidRDefault="00607129" w:rsidP="0036741B">
      <w:pPr>
        <w:keepNext/>
        <w:keepLines/>
        <w:suppressLineNumbers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hAnsi="Times New Roman" w:cs="Times New Roman"/>
          <w:i/>
          <w:sz w:val="24"/>
          <w:szCs w:val="24"/>
        </w:rPr>
        <w:lastRenderedPageBreak/>
        <w:t>Под посмертной репатриацией</w:t>
      </w:r>
      <w:r w:rsidRPr="0035618B">
        <w:rPr>
          <w:rFonts w:ascii="Times New Roman" w:hAnsi="Times New Roman" w:cs="Times New Roman"/>
          <w:sz w:val="24"/>
          <w:szCs w:val="24"/>
        </w:rPr>
        <w:t xml:space="preserve"> в настоящей Программе понимается </w:t>
      </w:r>
      <w:r w:rsidRPr="0035618B">
        <w:rPr>
          <w:rFonts w:ascii="Times New Roman" w:eastAsia="HiddenHorzOCR" w:hAnsi="Times New Roman" w:cs="Times New Roman"/>
          <w:sz w:val="24"/>
          <w:szCs w:val="24"/>
        </w:rPr>
        <w:t>доставка тела Застрахованного лица к месту его постоянного проживания (месту погребения), если смерть Застрахованного лица наступила в период оказания ему медицинских услуг, предусмотренных настоящей Программой, во время его нахождения за пределами административно-территориальных границ населенного пункта, в котором Застрахованное лицо постоянно проживало.</w:t>
      </w:r>
    </w:p>
    <w:p w14:paraId="024A2F64" w14:textId="77777777" w:rsidR="0036741B" w:rsidRPr="0035618B" w:rsidRDefault="00607129" w:rsidP="0036741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Под </w:t>
      </w:r>
      <w:r w:rsidRPr="0035618B">
        <w:rPr>
          <w:rFonts w:ascii="Times New Roman" w:eastAsia="HiddenHorzOCR" w:hAnsi="Times New Roman" w:cs="Times New Roman"/>
          <w:i/>
          <w:sz w:val="24"/>
          <w:szCs w:val="24"/>
        </w:rPr>
        <w:t>медицинской транспортировкой</w:t>
      </w: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 понимается перевозка Застрахованного лица из дома / медицинской организации, где проходит лечение /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аэропорта /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ж/д вокзала / </w:t>
      </w: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иного места размещения в аэропорт /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на ж/д вокзал / </w:t>
      </w:r>
      <w:r w:rsidRPr="0035618B">
        <w:rPr>
          <w:rFonts w:ascii="Times New Roman" w:eastAsia="HiddenHorzOCR" w:hAnsi="Times New Roman" w:cs="Times New Roman"/>
          <w:sz w:val="24"/>
          <w:szCs w:val="24"/>
        </w:rPr>
        <w:t>другую медицинскую организацию, в которой будет проводиться лечение / иное место размещения на транспортом средстве (за исключением санитарно-авиационной транспортировки, осуществляемой воздушными судами) с медицинским оборудованием (штатным или временным) в сопровождении врача или фельдшера, при отсутствии противопоказаний для транспортировки и при условии, что такой перевод Застрахованного лица предписан лечащим врачом и необходим по медицинским показаниям и предварительно согласован со Страховщиком.</w:t>
      </w:r>
    </w:p>
    <w:p w14:paraId="024A2F65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3.4. По настоящей Программе установлены следующие лимиты страхового обязательства Страховщика:</w:t>
      </w:r>
    </w:p>
    <w:p w14:paraId="024A2F66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3.4.1. Имплантация необходимая в целях реконструктивного лечения, включая стоимость изделий для внутреннего протезирования – 15 000 долларов США </w:t>
      </w:r>
      <w:r w:rsidRPr="0035618B">
        <w:rPr>
          <w:rFonts w:ascii="Times New Roman" w:eastAsia="Calibri" w:hAnsi="Times New Roman" w:cs="Times New Roman"/>
          <w:sz w:val="24"/>
          <w:szCs w:val="24"/>
        </w:rPr>
        <w:t>в течение срока страхования по одному страховому случаю;</w:t>
      </w:r>
    </w:p>
    <w:p w14:paraId="024A2F67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3.4.2. Получение повторного заключения врача-специалиста о состоянии здоровья Застрахованного лица, в соответствии с п. 3.1.3 настоящей Программы - 2 </w:t>
      </w:r>
      <w:r>
        <w:rPr>
          <w:rFonts w:ascii="Times New Roman" w:eastAsia="HiddenHorzOCR" w:hAnsi="Times New Roman" w:cs="Times New Roman"/>
          <w:sz w:val="24"/>
          <w:szCs w:val="24"/>
        </w:rPr>
        <w:t>обращения</w:t>
      </w: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 в течение срока страхования.</w:t>
      </w:r>
    </w:p>
    <w:p w14:paraId="024A2F68" w14:textId="77777777" w:rsidR="0036741B" w:rsidRPr="0035618B" w:rsidRDefault="005907F3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A2F69" w14:textId="77777777" w:rsidR="0036741B" w:rsidRPr="0035618B" w:rsidRDefault="00607129" w:rsidP="0036741B">
      <w:pPr>
        <w:keepNext/>
        <w:keepLines/>
        <w:numPr>
          <w:ilvl w:val="0"/>
          <w:numId w:val="3"/>
        </w:num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6A6A6"/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18B">
        <w:rPr>
          <w:rFonts w:ascii="Times New Roman" w:hAnsi="Times New Roman" w:cs="Times New Roman"/>
          <w:b/>
          <w:sz w:val="24"/>
          <w:szCs w:val="24"/>
        </w:rPr>
        <w:t>Раздел 4.  Исключения из страхования.</w:t>
      </w:r>
    </w:p>
    <w:p w14:paraId="024A2F6A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4.1. Не признается страховым случаем </w:t>
      </w:r>
      <w:proofErr w:type="gramStart"/>
      <w:r w:rsidRPr="0035618B">
        <w:rPr>
          <w:rFonts w:ascii="Times New Roman" w:eastAsia="HiddenHorzOCR" w:hAnsi="Times New Roman" w:cs="Times New Roman"/>
          <w:sz w:val="24"/>
          <w:szCs w:val="24"/>
        </w:rPr>
        <w:t>и следовательно</w:t>
      </w:r>
      <w:proofErr w:type="gram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 Страховщик не организует оказание и не производит оплату медицинских и иных услуг (исключения из страхования):</w:t>
      </w:r>
    </w:p>
    <w:p w14:paraId="024A2F6B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4.1.1. обращение Застрахованного лица за оказанием медицинских и иных услуг, не предусмотренных настоящей Программой и/или не назначенных ему лечащим врачом, либо не являющихся необходимыми с медицинской точки зрения для диагностирования или лечения заболевания;</w:t>
      </w:r>
    </w:p>
    <w:p w14:paraId="024A2F6C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4.1.2. обращение Застрахованного лица за оказанием медицинских и иных услуг по поводу заболеваний, не предусмотренных настоящей Программой;</w:t>
      </w:r>
    </w:p>
    <w:p w14:paraId="024A2F6D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4.1.3. обращение за оказанием медицинских услуг лицу, не являющемуся Застрахованным лицом по Договору страхования, в том числе в случае установления факта передачи Застрахованным лицом Договора страхования и/или иных документов другому лицу для получения таким лицом медицинских и иных услуг, предусмотренных настоящей Программой;</w:t>
      </w:r>
    </w:p>
    <w:p w14:paraId="024A2F6E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4.1.4. обращение Застрахованного лица за оказанием медицинских и иных услуг, необходимость которых возникла в связи с нарушением Застрахованным лицом рекомендаций лечащего врача, правил и распорядка нахождения на лечении в медицинской организации;</w:t>
      </w:r>
    </w:p>
    <w:p w14:paraId="024A2F6F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4.1.5. обращение Застрахованного лица за оказанием медицинских и иных услуг в медицинские и сервисные организации выбор которых не был согласован со Страховщиком;</w:t>
      </w:r>
    </w:p>
    <w:p w14:paraId="024A2F70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4.1.6. обращение Застрахованного лица за оказанием медицинских и иных услуг в связи с заболеванием, имевшимся у него или о которых было известно Застрахованному </w:t>
      </w:r>
      <w:r w:rsidRPr="0035618B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лицу (его законному представителю) до начала срока страхования, или диагностированного после окончания срока страхования (в </w:t>
      </w:r>
      <w:proofErr w:type="spellStart"/>
      <w:r w:rsidRPr="0035618B">
        <w:rPr>
          <w:rFonts w:ascii="Times New Roman" w:eastAsia="HiddenHorzOCR" w:hAnsi="Times New Roman" w:cs="Times New Roman"/>
          <w:sz w:val="24"/>
          <w:szCs w:val="24"/>
        </w:rPr>
        <w:t>т.ч</w:t>
      </w:r>
      <w:proofErr w:type="spellEnd"/>
      <w:r w:rsidRPr="0035618B">
        <w:rPr>
          <w:rFonts w:ascii="Times New Roman" w:eastAsia="HiddenHorzOCR" w:hAnsi="Times New Roman" w:cs="Times New Roman"/>
          <w:sz w:val="24"/>
          <w:szCs w:val="24"/>
        </w:rPr>
        <w:t>. досрочного).</w:t>
      </w:r>
    </w:p>
    <w:p w14:paraId="024A2F71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4.2. Не признается страховым случаем </w:t>
      </w:r>
      <w:proofErr w:type="gramStart"/>
      <w:r w:rsidRPr="0035618B">
        <w:rPr>
          <w:rFonts w:ascii="Times New Roman" w:eastAsia="HiddenHorzOCR" w:hAnsi="Times New Roman" w:cs="Times New Roman"/>
          <w:sz w:val="24"/>
          <w:szCs w:val="24"/>
        </w:rPr>
        <w:t>и следовательно</w:t>
      </w:r>
      <w:proofErr w:type="gram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 Страховщик не организует оказание и не производит оплату медицинских и иных услуг (исключения из страхования) обращение Застрахованного лица за организацией и оказанием медицинских и иных услуг:</w:t>
      </w:r>
    </w:p>
    <w:p w14:paraId="024A2F72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4.2.1. связанных с применением экспериментальных методов лечения, не одобренных Хельсинкской комиссией и/или другими профильными объединениями/организациями, заменяющими Хельсинкскую комиссию;</w:t>
      </w:r>
    </w:p>
    <w:p w14:paraId="024A2F73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4.2.2. в связи с родовыми травмами и/или врождёнными пороками развития, в том числе врожденными нарушениями нормального развития головного мозга и черепной коробки, спинного мозга и позвоночника;</w:t>
      </w:r>
    </w:p>
    <w:p w14:paraId="024A2F74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4.2.3. выполняемых в эстетических и/или косметических целях, включая, но не ограничиваясь, операцию по коррекции миопии (близорукости), </w:t>
      </w:r>
      <w:proofErr w:type="spellStart"/>
      <w:r w:rsidRPr="0035618B">
        <w:rPr>
          <w:rFonts w:ascii="Times New Roman" w:eastAsia="HiddenHorzOCR" w:hAnsi="Times New Roman" w:cs="Times New Roman"/>
          <w:sz w:val="24"/>
          <w:szCs w:val="24"/>
        </w:rPr>
        <w:t>бариатрические</w:t>
      </w:r>
      <w:proofErr w:type="spell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 операции, включающие в себя, но не ограничивающиеся операциями, направленными на уменьшение объема желудка или кишечника, кроме операции по реконструкции груди после резекции / удаления молочной железы, проведенной в рамках настоящей Программы и в соответствии с ее условиями;</w:t>
      </w:r>
    </w:p>
    <w:p w14:paraId="024A2F75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4.2.4. в связи с заболеваниями и состояниями, которые являются прямым или косвенным следствием синдрома приобретенного иммунодефицита (СПИД) или носительства вируса иммунодефицита человека (ВИЧ);</w:t>
      </w:r>
    </w:p>
    <w:p w14:paraId="024A2F76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4.2.5. в связи с расстройством здоровья, в том числе травматическим повреждением, наступившим в результате занятий спортом на профессиональном уровне;</w:t>
      </w:r>
    </w:p>
    <w:p w14:paraId="024A2F77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4.2.6. в связи с заболеваниями и медицинскими состояниями, возникшими в результате занятия Застрахованного лица следующими экстремальными видами спорта, сопряженными с повышенным риском для жизни и здоровья: автоспорт, мотоспорт, альпинизм, спелеология, бокс и любые другие виды боевых единоборств, экстремальные виды велоспорта (включая маунтинбайк), </w:t>
      </w:r>
      <w:proofErr w:type="spellStart"/>
      <w:r w:rsidRPr="0035618B">
        <w:rPr>
          <w:rFonts w:ascii="Times New Roman" w:eastAsia="HiddenHorzOCR" w:hAnsi="Times New Roman" w:cs="Times New Roman"/>
          <w:sz w:val="24"/>
          <w:szCs w:val="24"/>
        </w:rPr>
        <w:t>фридайвинг</w:t>
      </w:r>
      <w:proofErr w:type="spell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35618B">
        <w:rPr>
          <w:rFonts w:ascii="Times New Roman" w:eastAsia="HiddenHorzOCR" w:hAnsi="Times New Roman" w:cs="Times New Roman"/>
          <w:sz w:val="24"/>
          <w:szCs w:val="24"/>
        </w:rPr>
        <w:t>скайсерфинг</w:t>
      </w:r>
      <w:proofErr w:type="spell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, дайвинг (глубина погружения более 25 метров), </w:t>
      </w:r>
      <w:proofErr w:type="spellStart"/>
      <w:r w:rsidRPr="0035618B">
        <w:rPr>
          <w:rFonts w:ascii="Times New Roman" w:eastAsia="HiddenHorzOCR" w:hAnsi="Times New Roman" w:cs="Times New Roman"/>
          <w:sz w:val="24"/>
          <w:szCs w:val="24"/>
        </w:rPr>
        <w:t>кайтинг</w:t>
      </w:r>
      <w:proofErr w:type="spell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35618B">
        <w:rPr>
          <w:rFonts w:ascii="Times New Roman" w:eastAsia="HiddenHorzOCR" w:hAnsi="Times New Roman" w:cs="Times New Roman"/>
          <w:sz w:val="24"/>
          <w:szCs w:val="24"/>
        </w:rPr>
        <w:t>бейсджампинг</w:t>
      </w:r>
      <w:proofErr w:type="spell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, экстремальные водные виды спорта (в том числе, </w:t>
      </w:r>
      <w:proofErr w:type="spellStart"/>
      <w:r w:rsidRPr="0035618B">
        <w:rPr>
          <w:rFonts w:ascii="Times New Roman" w:eastAsia="HiddenHorzOCR" w:hAnsi="Times New Roman" w:cs="Times New Roman"/>
          <w:sz w:val="24"/>
          <w:szCs w:val="24"/>
        </w:rPr>
        <w:t>аквабайк</w:t>
      </w:r>
      <w:proofErr w:type="spell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, водные лыжи), парашютный спорт, </w:t>
      </w:r>
      <w:proofErr w:type="spellStart"/>
      <w:r w:rsidRPr="0035618B">
        <w:rPr>
          <w:rFonts w:ascii="Times New Roman" w:eastAsia="HiddenHorzOCR" w:hAnsi="Times New Roman" w:cs="Times New Roman"/>
          <w:sz w:val="24"/>
          <w:szCs w:val="24"/>
        </w:rPr>
        <w:t>парапланеризм</w:t>
      </w:r>
      <w:proofErr w:type="spellEnd"/>
      <w:r w:rsidRPr="0035618B">
        <w:rPr>
          <w:rFonts w:ascii="Times New Roman" w:eastAsia="HiddenHorzOCR" w:hAnsi="Times New Roman" w:cs="Times New Roman"/>
          <w:sz w:val="24"/>
          <w:szCs w:val="24"/>
        </w:rPr>
        <w:t>, дельтапланеризм, конный спорт;</w:t>
      </w:r>
    </w:p>
    <w:p w14:paraId="024A2F78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4.2.7. в связи с расстройством здоровья, наступившим в местах лишения свободы, содержания под стражей;</w:t>
      </w:r>
    </w:p>
    <w:p w14:paraId="024A2F79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4.2.8. в связи с расстройством здоровья, наступившим в результате совершения Застрахованным лицом противоправных деяний, а также в результате совершения или подготовки террористического акта;</w:t>
      </w:r>
    </w:p>
    <w:p w14:paraId="024A2F7A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4.2.9. в связи с расстройством здоровья, наступившим в результате умышленного причинения Застрахованным лицом себе телесных повреждений, попытки самоубийства, в том числе связанных с психическими заболеваниями или расстройствами поведения.</w:t>
      </w:r>
    </w:p>
    <w:p w14:paraId="024A2F7B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4.3. Не признается страховым случаем </w:t>
      </w:r>
      <w:proofErr w:type="gramStart"/>
      <w:r w:rsidRPr="0035618B">
        <w:rPr>
          <w:rFonts w:ascii="Times New Roman" w:eastAsia="HiddenHorzOCR" w:hAnsi="Times New Roman" w:cs="Times New Roman"/>
          <w:sz w:val="24"/>
          <w:szCs w:val="24"/>
        </w:rPr>
        <w:t>и следовательно</w:t>
      </w:r>
      <w:proofErr w:type="gramEnd"/>
      <w:r w:rsidRPr="0035618B">
        <w:rPr>
          <w:rFonts w:ascii="Times New Roman" w:eastAsia="HiddenHorzOCR" w:hAnsi="Times New Roman" w:cs="Times New Roman"/>
          <w:sz w:val="24"/>
          <w:szCs w:val="24"/>
        </w:rPr>
        <w:t xml:space="preserve"> Страховщик не организует оказание и не производит оплату следующих медицинских и иных услуг (исключения из страхования):</w:t>
      </w:r>
    </w:p>
    <w:p w14:paraId="024A2F7C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4.3.1. трансплантация костного мозга, включающая в себя лечение стволовыми клетками;</w:t>
      </w:r>
    </w:p>
    <w:p w14:paraId="024A2F7D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4.3.2. трансплантация органов и/или их долей, не предусмотренных настоящей Программой;</w:t>
      </w:r>
    </w:p>
    <w:p w14:paraId="024A2F7E" w14:textId="77777777" w:rsidR="0036741B" w:rsidRPr="0035618B" w:rsidRDefault="00607129" w:rsidP="0036741B">
      <w:pPr>
        <w:keepNext/>
        <w:suppressLineNumbers/>
        <w:shd w:val="clear" w:color="auto" w:fill="FFFFFF"/>
        <w:suppressAutoHyphens/>
        <w:spacing w:before="40"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5618B">
        <w:rPr>
          <w:rFonts w:ascii="Times New Roman" w:eastAsia="HiddenHorzOCR" w:hAnsi="Times New Roman" w:cs="Times New Roman"/>
          <w:sz w:val="24"/>
          <w:szCs w:val="24"/>
        </w:rPr>
        <w:t>4.3.3. трансплантация вследствие алкогольной болезни печени.</w:t>
      </w:r>
    </w:p>
    <w:p w14:paraId="024A2F7F" w14:textId="77777777" w:rsidR="0036741B" w:rsidRPr="00EE7367" w:rsidRDefault="005907F3" w:rsidP="003674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4A2F80" w14:textId="77777777" w:rsidR="0036741B" w:rsidRPr="00EE7367" w:rsidRDefault="005907F3" w:rsidP="0036741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 w:bidi="th-TH"/>
        </w:rPr>
      </w:pPr>
    </w:p>
    <w:p w14:paraId="024A308B" w14:textId="77777777" w:rsidR="00147CDE" w:rsidRDefault="005907F3"/>
    <w:sectPr w:rsidR="0014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B72F" w14:textId="77777777" w:rsidR="005907F3" w:rsidRDefault="005907F3">
      <w:pPr>
        <w:spacing w:after="0" w:line="240" w:lineRule="auto"/>
      </w:pPr>
      <w:r>
        <w:separator/>
      </w:r>
    </w:p>
  </w:endnote>
  <w:endnote w:type="continuationSeparator" w:id="0">
    <w:p w14:paraId="54D15715" w14:textId="77777777" w:rsidR="005907F3" w:rsidRDefault="0059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15706"/>
      <w:docPartObj>
        <w:docPartGallery w:val="Page Numbers (Bottom of Page)"/>
        <w:docPartUnique/>
      </w:docPartObj>
    </w:sdtPr>
    <w:sdtEndPr/>
    <w:sdtContent>
      <w:p w14:paraId="024A308C" w14:textId="77777777" w:rsidR="001E263C" w:rsidRDefault="006071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773">
          <w:rPr>
            <w:noProof/>
          </w:rPr>
          <w:t>3</w:t>
        </w:r>
        <w:r>
          <w:fldChar w:fldCharType="end"/>
        </w:r>
      </w:p>
    </w:sdtContent>
  </w:sdt>
  <w:p w14:paraId="024A308D" w14:textId="77777777" w:rsidR="001E263C" w:rsidRDefault="005907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74FF" w14:textId="77777777" w:rsidR="005907F3" w:rsidRDefault="005907F3">
      <w:pPr>
        <w:spacing w:after="0" w:line="240" w:lineRule="auto"/>
      </w:pPr>
      <w:r>
        <w:separator/>
      </w:r>
    </w:p>
  </w:footnote>
  <w:footnote w:type="continuationSeparator" w:id="0">
    <w:p w14:paraId="159F6380" w14:textId="77777777" w:rsidR="005907F3" w:rsidRDefault="0059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35449"/>
    <w:multiLevelType w:val="hybridMultilevel"/>
    <w:tmpl w:val="96A8302A"/>
    <w:lvl w:ilvl="0" w:tplc="FDFC3B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680EDE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5684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DE900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2CE91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9A960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0258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864AA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CAC46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BC6EE2"/>
    <w:multiLevelType w:val="hybridMultilevel"/>
    <w:tmpl w:val="4A949EAA"/>
    <w:lvl w:ilvl="0" w:tplc="33A0E1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D6832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FC97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0EFE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88C77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263F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1080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5827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93A75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5"/>
    <w:rsid w:val="002D07F8"/>
    <w:rsid w:val="002F4D55"/>
    <w:rsid w:val="00345773"/>
    <w:rsid w:val="005907F3"/>
    <w:rsid w:val="00607129"/>
    <w:rsid w:val="007810F2"/>
    <w:rsid w:val="00BE21B2"/>
    <w:rsid w:val="00D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2DCC"/>
  <w15:docId w15:val="{EC555AA1-BB80-4363-8EE8-A8277159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741B"/>
  </w:style>
  <w:style w:type="paragraph" w:styleId="a5">
    <w:name w:val="Balloon Text"/>
    <w:basedOn w:val="a"/>
    <w:link w:val="a6"/>
    <w:uiPriority w:val="99"/>
    <w:semiHidden/>
    <w:unhideWhenUsed/>
    <w:rsid w:val="0073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27C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7C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C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7C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7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810465C1FE3428F9767C0250AE60E" ma:contentTypeVersion="0" ma:contentTypeDescription="Создание документа." ma:contentTypeScope="" ma:versionID="c7f71dc36514522d6fb8cb1f69f5e6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981E4-BBB5-4953-B615-6EF454A4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4C3EA-AAEA-484F-B2D7-374027F77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4FBB7-474E-47E9-8D2B-26B3C5C8C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Ольга Олеговна</dc:creator>
  <cp:lastModifiedBy>Лапшин Михаил Юрьевич</cp:lastModifiedBy>
  <cp:revision>3</cp:revision>
  <dcterms:created xsi:type="dcterms:W3CDTF">2019-12-26T10:23:00Z</dcterms:created>
  <dcterms:modified xsi:type="dcterms:W3CDTF">2019-12-26T10:25:00Z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0x010100AEA810465C1FE3428F9767C0250AE60E</vt:lpwstr>
  </property>
</Properties>
</file>